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4D357">
      <w:pPr>
        <w:widowControl/>
        <w:spacing w:line="760" w:lineRule="exact"/>
        <w:jc w:val="center"/>
        <w:rPr>
          <w:rFonts w:ascii="仿宋" w:hAnsi="仿宋" w:eastAsia="仿宋" w:cs="仿宋"/>
          <w:b/>
          <w:bCs/>
          <w:color w:val="000000"/>
          <w:kern w:val="0"/>
          <w:sz w:val="36"/>
          <w:szCs w:val="36"/>
          <w:lang w:bidi="ar"/>
        </w:rPr>
      </w:pPr>
      <w:r>
        <w:rPr>
          <w:rFonts w:hint="eastAsia" w:ascii="仿宋" w:hAnsi="仿宋" w:eastAsia="仿宋" w:cs="仿宋"/>
          <w:b/>
          <w:bCs/>
          <w:color w:val="000000"/>
          <w:kern w:val="0"/>
          <w:sz w:val="36"/>
          <w:szCs w:val="36"/>
          <w:lang w:bidi="ar"/>
        </w:rPr>
        <w:t>购房报价书</w:t>
      </w:r>
    </w:p>
    <w:p w14:paraId="205B2D81">
      <w:pPr>
        <w:widowControl/>
        <w:spacing w:line="760" w:lineRule="exact"/>
        <w:ind w:firstLine="560" w:firstLineChars="20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一、报价表</w:t>
      </w:r>
      <w:r>
        <w:rPr>
          <w:rFonts w:hint="eastAsia" w:ascii="仿宋" w:hAnsi="仿宋" w:eastAsia="仿宋" w:cs="仿宋"/>
          <w:color w:val="000000"/>
          <w:kern w:val="0"/>
          <w:sz w:val="28"/>
          <w:szCs w:val="28"/>
          <w:highlight w:val="none"/>
          <w:lang w:bidi="ar"/>
        </w:rPr>
        <w:t>（含税）</w:t>
      </w:r>
    </w:p>
    <w:tbl>
      <w:tblPr>
        <w:tblStyle w:val="9"/>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5"/>
        <w:gridCol w:w="1634"/>
        <w:gridCol w:w="1756"/>
        <w:gridCol w:w="1596"/>
        <w:gridCol w:w="1725"/>
      </w:tblGrid>
      <w:tr w14:paraId="5590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45" w:type="dxa"/>
            <w:vAlign w:val="center"/>
          </w:tcPr>
          <w:p w14:paraId="62BBD9A2">
            <w:pPr>
              <w:keepNext w:val="0"/>
              <w:keepLines w:val="0"/>
              <w:suppressLineNumbers w:val="0"/>
              <w:spacing w:before="0" w:beforeAutospacing="0" w:after="0" w:afterAutospacing="0" w:line="300" w:lineRule="exact"/>
              <w:ind w:left="0" w:right="0"/>
              <w:jc w:val="center"/>
              <w:rPr>
                <w:rFonts w:hint="default" w:ascii="仿宋" w:hAnsi="仿宋" w:eastAsia="仿宋" w:cs="仿宋"/>
                <w:sz w:val="26"/>
                <w:szCs w:val="26"/>
              </w:rPr>
            </w:pPr>
            <w:r>
              <w:rPr>
                <w:rFonts w:hint="eastAsia" w:ascii="仿宋" w:hAnsi="仿宋" w:eastAsia="仿宋" w:cs="仿宋"/>
                <w:sz w:val="26"/>
                <w:szCs w:val="26"/>
              </w:rPr>
              <w:t>房屋座落</w:t>
            </w:r>
          </w:p>
        </w:tc>
        <w:tc>
          <w:tcPr>
            <w:tcW w:w="1634" w:type="dxa"/>
            <w:vAlign w:val="center"/>
          </w:tcPr>
          <w:p w14:paraId="68C9F7EE">
            <w:pPr>
              <w:keepNext w:val="0"/>
              <w:keepLines w:val="0"/>
              <w:suppressLineNumbers w:val="0"/>
              <w:spacing w:before="0" w:beforeAutospacing="0" w:after="0" w:afterAutospacing="0" w:line="300" w:lineRule="exact"/>
              <w:ind w:left="0" w:right="0"/>
              <w:jc w:val="center"/>
              <w:rPr>
                <w:rFonts w:hint="default" w:ascii="仿宋" w:hAnsi="仿宋" w:eastAsia="仿宋" w:cs="仿宋"/>
                <w:sz w:val="26"/>
                <w:szCs w:val="26"/>
              </w:rPr>
            </w:pPr>
            <w:r>
              <w:rPr>
                <w:rFonts w:hint="eastAsia" w:ascii="仿宋" w:hAnsi="仿宋" w:eastAsia="仿宋" w:cs="仿宋"/>
                <w:sz w:val="26"/>
                <w:szCs w:val="26"/>
              </w:rPr>
              <w:t>房屋面积</w:t>
            </w:r>
          </w:p>
        </w:tc>
        <w:tc>
          <w:tcPr>
            <w:tcW w:w="1756" w:type="dxa"/>
            <w:vAlign w:val="center"/>
          </w:tcPr>
          <w:p w14:paraId="3272AD22">
            <w:pPr>
              <w:keepNext w:val="0"/>
              <w:keepLines w:val="0"/>
              <w:suppressLineNumbers w:val="0"/>
              <w:spacing w:before="0" w:beforeAutospacing="0" w:after="0" w:afterAutospacing="0" w:line="300" w:lineRule="exact"/>
              <w:ind w:left="0" w:right="0"/>
              <w:jc w:val="center"/>
              <w:rPr>
                <w:rFonts w:hint="default" w:ascii="仿宋" w:hAnsi="仿宋" w:eastAsia="仿宋" w:cs="仿宋"/>
                <w:b/>
                <w:bCs/>
                <w:sz w:val="26"/>
                <w:szCs w:val="26"/>
              </w:rPr>
            </w:pPr>
            <w:r>
              <w:rPr>
                <w:rFonts w:hint="eastAsia" w:ascii="仿宋" w:hAnsi="仿宋" w:eastAsia="仿宋" w:cs="仿宋"/>
                <w:sz w:val="26"/>
                <w:szCs w:val="26"/>
              </w:rPr>
              <w:t>意向购买房产</w:t>
            </w:r>
            <w:r>
              <w:rPr>
                <w:rFonts w:hint="eastAsia" w:ascii="仿宋" w:hAnsi="仿宋" w:eastAsia="仿宋" w:cs="仿宋"/>
                <w:b/>
                <w:bCs/>
                <w:sz w:val="26"/>
                <w:szCs w:val="26"/>
              </w:rPr>
              <w:t>（勾选</w:t>
            </w:r>
            <w:r>
              <w:rPr>
                <w:rFonts w:hint="eastAsia" w:ascii="仿宋" w:hAnsi="仿宋" w:eastAsia="仿宋" w:cs="仿宋"/>
                <w:b/>
                <w:bCs/>
                <w:sz w:val="26"/>
                <w:szCs w:val="26"/>
                <w:lang w:eastAsia="zh-CN"/>
              </w:rPr>
              <w:t>，</w:t>
            </w:r>
            <w:r>
              <w:rPr>
                <w:rFonts w:hint="eastAsia" w:ascii="仿宋" w:hAnsi="仿宋" w:eastAsia="仿宋" w:cs="仿宋"/>
                <w:b/>
                <w:bCs/>
                <w:sz w:val="26"/>
                <w:szCs w:val="26"/>
                <w:lang w:val="en-US" w:eastAsia="zh-CN"/>
              </w:rPr>
              <w:t>可多选</w:t>
            </w:r>
            <w:r>
              <w:rPr>
                <w:rFonts w:hint="eastAsia" w:ascii="仿宋" w:hAnsi="仿宋" w:eastAsia="仿宋" w:cs="仿宋"/>
                <w:b/>
                <w:bCs/>
                <w:sz w:val="26"/>
                <w:szCs w:val="26"/>
              </w:rPr>
              <w:t>）</w:t>
            </w:r>
          </w:p>
        </w:tc>
        <w:tc>
          <w:tcPr>
            <w:tcW w:w="1596" w:type="dxa"/>
            <w:vAlign w:val="center"/>
          </w:tcPr>
          <w:p w14:paraId="5AABB052">
            <w:pPr>
              <w:keepNext w:val="0"/>
              <w:keepLines w:val="0"/>
              <w:suppressLineNumbers w:val="0"/>
              <w:spacing w:before="0" w:beforeAutospacing="0" w:after="0" w:afterAutospacing="0" w:line="300" w:lineRule="exact"/>
              <w:ind w:left="0" w:right="0"/>
              <w:jc w:val="center"/>
              <w:rPr>
                <w:rFonts w:hint="default" w:ascii="仿宋" w:hAnsi="仿宋" w:eastAsia="仿宋" w:cs="仿宋"/>
                <w:sz w:val="26"/>
                <w:szCs w:val="26"/>
              </w:rPr>
            </w:pPr>
            <w:r>
              <w:rPr>
                <w:rFonts w:hint="eastAsia" w:ascii="仿宋" w:hAnsi="仿宋" w:eastAsia="仿宋" w:cs="仿宋"/>
                <w:sz w:val="26"/>
                <w:szCs w:val="26"/>
              </w:rPr>
              <w:t>购买单价</w:t>
            </w:r>
          </w:p>
          <w:p w14:paraId="6BB55AB8">
            <w:pPr>
              <w:keepNext w:val="0"/>
              <w:keepLines w:val="0"/>
              <w:suppressLineNumbers w:val="0"/>
              <w:spacing w:before="0" w:beforeAutospacing="0" w:after="0" w:afterAutospacing="0" w:line="300" w:lineRule="exact"/>
              <w:ind w:left="0" w:right="0"/>
              <w:jc w:val="center"/>
              <w:rPr>
                <w:rFonts w:hint="default" w:ascii="仿宋" w:hAnsi="仿宋" w:eastAsia="仿宋" w:cs="仿宋"/>
                <w:sz w:val="26"/>
                <w:szCs w:val="26"/>
              </w:rPr>
            </w:pPr>
            <w:r>
              <w:rPr>
                <w:rFonts w:hint="eastAsia" w:ascii="仿宋" w:hAnsi="仿宋" w:eastAsia="仿宋" w:cs="仿宋"/>
                <w:sz w:val="26"/>
                <w:szCs w:val="26"/>
              </w:rPr>
              <w:t>（元/㎡）</w:t>
            </w:r>
          </w:p>
        </w:tc>
        <w:tc>
          <w:tcPr>
            <w:tcW w:w="1725" w:type="dxa"/>
            <w:vAlign w:val="center"/>
          </w:tcPr>
          <w:p w14:paraId="529D7AEA">
            <w:pPr>
              <w:keepNext w:val="0"/>
              <w:keepLines w:val="0"/>
              <w:suppressLineNumbers w:val="0"/>
              <w:spacing w:before="0" w:beforeAutospacing="0" w:after="0" w:afterAutospacing="0" w:line="300" w:lineRule="exact"/>
              <w:ind w:left="0" w:right="0"/>
              <w:jc w:val="center"/>
              <w:rPr>
                <w:rFonts w:hint="default" w:ascii="仿宋" w:hAnsi="仿宋" w:eastAsia="仿宋" w:cs="仿宋"/>
                <w:sz w:val="26"/>
                <w:szCs w:val="26"/>
              </w:rPr>
            </w:pPr>
            <w:r>
              <w:rPr>
                <w:rFonts w:hint="eastAsia" w:ascii="仿宋" w:hAnsi="仿宋" w:eastAsia="仿宋" w:cs="仿宋"/>
                <w:sz w:val="26"/>
                <w:szCs w:val="26"/>
              </w:rPr>
              <w:t>购买总额</w:t>
            </w:r>
          </w:p>
          <w:p w14:paraId="0CC43367">
            <w:pPr>
              <w:keepNext w:val="0"/>
              <w:keepLines w:val="0"/>
              <w:suppressLineNumbers w:val="0"/>
              <w:spacing w:before="0" w:beforeAutospacing="0" w:after="0" w:afterAutospacing="0" w:line="300" w:lineRule="exact"/>
              <w:ind w:left="0" w:right="0"/>
              <w:jc w:val="center"/>
              <w:rPr>
                <w:rFonts w:hint="eastAsia" w:ascii="仿宋" w:hAnsi="仿宋" w:eastAsia="仿宋" w:cs="仿宋"/>
                <w:sz w:val="26"/>
                <w:szCs w:val="26"/>
              </w:rPr>
            </w:pPr>
            <w:r>
              <w:rPr>
                <w:rFonts w:hint="eastAsia" w:ascii="仿宋" w:hAnsi="仿宋" w:eastAsia="仿宋" w:cs="仿宋"/>
                <w:sz w:val="26"/>
                <w:szCs w:val="26"/>
              </w:rPr>
              <w:t>（元/套）</w:t>
            </w:r>
          </w:p>
        </w:tc>
      </w:tr>
      <w:tr w14:paraId="6A4E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545" w:type="dxa"/>
            <w:vAlign w:val="center"/>
          </w:tcPr>
          <w:p w14:paraId="0EA5C57F">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4"/>
                <w:szCs w:val="24"/>
              </w:rPr>
            </w:pPr>
            <w:r>
              <w:rPr>
                <w:rFonts w:hint="eastAsia" w:ascii="仿宋" w:hAnsi="仿宋" w:eastAsia="仿宋" w:cs="仿宋"/>
                <w:color w:val="000000"/>
                <w:kern w:val="0"/>
                <w:sz w:val="24"/>
                <w:szCs w:val="24"/>
                <w:lang w:bidi="ar"/>
              </w:rPr>
              <w:t>蕉岭县蕉城镇塔牌大道89号A-201号</w:t>
            </w:r>
          </w:p>
        </w:tc>
        <w:tc>
          <w:tcPr>
            <w:tcW w:w="1634" w:type="dxa"/>
            <w:vAlign w:val="center"/>
          </w:tcPr>
          <w:p w14:paraId="1347494F">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6"/>
                <w:szCs w:val="26"/>
              </w:rPr>
            </w:pPr>
            <w:r>
              <w:rPr>
                <w:rFonts w:hint="eastAsia" w:ascii="仿宋" w:hAnsi="仿宋" w:eastAsia="仿宋" w:cs="仿宋"/>
                <w:sz w:val="26"/>
                <w:szCs w:val="26"/>
              </w:rPr>
              <w:t>204.74㎡</w:t>
            </w:r>
          </w:p>
        </w:tc>
        <w:tc>
          <w:tcPr>
            <w:tcW w:w="1756" w:type="dxa"/>
            <w:vAlign w:val="center"/>
          </w:tcPr>
          <w:p w14:paraId="2194C12E">
            <w:pPr>
              <w:keepNext w:val="0"/>
              <w:keepLines w:val="0"/>
              <w:widowControl/>
              <w:suppressLineNumbers w:val="0"/>
              <w:spacing w:before="0" w:beforeAutospacing="0" w:after="0" w:afterAutospacing="0" w:line="440" w:lineRule="exact"/>
              <w:ind w:left="0" w:right="0"/>
              <w:jc w:val="center"/>
              <w:textAlignment w:val="center"/>
              <w:rPr>
                <w:rFonts w:hint="default" w:ascii="仿宋" w:hAnsi="仿宋" w:eastAsia="仿宋" w:cs="仿宋"/>
                <w:sz w:val="26"/>
                <w:szCs w:val="26"/>
              </w:rPr>
            </w:pPr>
          </w:p>
        </w:tc>
        <w:tc>
          <w:tcPr>
            <w:tcW w:w="1596" w:type="dxa"/>
            <w:vAlign w:val="center"/>
          </w:tcPr>
          <w:p w14:paraId="7944CA64">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c>
          <w:tcPr>
            <w:tcW w:w="1725" w:type="dxa"/>
            <w:vAlign w:val="center"/>
          </w:tcPr>
          <w:p w14:paraId="3D961031">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r>
      <w:tr w14:paraId="4961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545" w:type="dxa"/>
            <w:vAlign w:val="center"/>
          </w:tcPr>
          <w:p w14:paraId="274AD358">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4"/>
                <w:szCs w:val="24"/>
              </w:rPr>
            </w:pPr>
            <w:r>
              <w:rPr>
                <w:rFonts w:hint="eastAsia" w:ascii="仿宋" w:hAnsi="仿宋" w:eastAsia="仿宋" w:cs="仿宋"/>
                <w:color w:val="000000"/>
                <w:kern w:val="0"/>
                <w:sz w:val="24"/>
                <w:szCs w:val="24"/>
                <w:lang w:bidi="ar"/>
              </w:rPr>
              <w:t>蕉岭县蕉城镇塔牌大道89号A-202号</w:t>
            </w:r>
          </w:p>
        </w:tc>
        <w:tc>
          <w:tcPr>
            <w:tcW w:w="1634" w:type="dxa"/>
            <w:vAlign w:val="center"/>
          </w:tcPr>
          <w:p w14:paraId="64FC21D6">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6"/>
                <w:szCs w:val="26"/>
              </w:rPr>
            </w:pPr>
            <w:r>
              <w:rPr>
                <w:rFonts w:hint="eastAsia" w:ascii="仿宋" w:hAnsi="仿宋" w:eastAsia="仿宋" w:cs="仿宋"/>
                <w:sz w:val="26"/>
                <w:szCs w:val="26"/>
              </w:rPr>
              <w:t>204.74㎡</w:t>
            </w:r>
          </w:p>
        </w:tc>
        <w:tc>
          <w:tcPr>
            <w:tcW w:w="1756" w:type="dxa"/>
            <w:vAlign w:val="center"/>
          </w:tcPr>
          <w:p w14:paraId="7D9CD86F">
            <w:pPr>
              <w:keepNext w:val="0"/>
              <w:keepLines w:val="0"/>
              <w:widowControl/>
              <w:suppressLineNumbers w:val="0"/>
              <w:spacing w:before="0" w:beforeAutospacing="0" w:after="0" w:afterAutospacing="0" w:line="440" w:lineRule="exact"/>
              <w:ind w:left="0" w:right="0"/>
              <w:jc w:val="center"/>
              <w:textAlignment w:val="center"/>
              <w:rPr>
                <w:rFonts w:hint="default" w:ascii="仿宋" w:hAnsi="仿宋" w:eastAsia="仿宋" w:cs="仿宋"/>
                <w:sz w:val="26"/>
                <w:szCs w:val="26"/>
              </w:rPr>
            </w:pPr>
          </w:p>
        </w:tc>
        <w:tc>
          <w:tcPr>
            <w:tcW w:w="1596" w:type="dxa"/>
            <w:vAlign w:val="center"/>
          </w:tcPr>
          <w:p w14:paraId="625BB9F8">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c>
          <w:tcPr>
            <w:tcW w:w="1725" w:type="dxa"/>
            <w:vAlign w:val="center"/>
          </w:tcPr>
          <w:p w14:paraId="458A42F6">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r>
      <w:tr w14:paraId="7179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545" w:type="dxa"/>
            <w:vAlign w:val="center"/>
          </w:tcPr>
          <w:p w14:paraId="3C77D90D">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4"/>
                <w:szCs w:val="24"/>
              </w:rPr>
            </w:pPr>
            <w:r>
              <w:rPr>
                <w:rFonts w:hint="eastAsia" w:ascii="仿宋" w:hAnsi="仿宋" w:eastAsia="仿宋" w:cs="仿宋"/>
                <w:color w:val="000000"/>
                <w:kern w:val="0"/>
                <w:sz w:val="24"/>
                <w:szCs w:val="24"/>
                <w:lang w:bidi="ar"/>
              </w:rPr>
              <w:t>蕉岭县蕉城镇塔牌大道89号A-1201号</w:t>
            </w:r>
          </w:p>
        </w:tc>
        <w:tc>
          <w:tcPr>
            <w:tcW w:w="1634" w:type="dxa"/>
            <w:vAlign w:val="center"/>
          </w:tcPr>
          <w:p w14:paraId="6582D126">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6"/>
                <w:szCs w:val="26"/>
              </w:rPr>
            </w:pPr>
            <w:r>
              <w:rPr>
                <w:rFonts w:hint="eastAsia" w:ascii="仿宋" w:hAnsi="仿宋" w:eastAsia="仿宋" w:cs="仿宋"/>
                <w:sz w:val="26"/>
                <w:szCs w:val="26"/>
              </w:rPr>
              <w:t>204.74㎡</w:t>
            </w:r>
          </w:p>
        </w:tc>
        <w:tc>
          <w:tcPr>
            <w:tcW w:w="1756" w:type="dxa"/>
            <w:vAlign w:val="center"/>
          </w:tcPr>
          <w:p w14:paraId="0E4256A7">
            <w:pPr>
              <w:keepNext w:val="0"/>
              <w:keepLines w:val="0"/>
              <w:widowControl/>
              <w:suppressLineNumbers w:val="0"/>
              <w:spacing w:before="0" w:beforeAutospacing="0" w:after="0" w:afterAutospacing="0" w:line="440" w:lineRule="exact"/>
              <w:ind w:left="0" w:right="0"/>
              <w:jc w:val="center"/>
              <w:textAlignment w:val="center"/>
              <w:rPr>
                <w:rFonts w:hint="default" w:ascii="仿宋" w:hAnsi="仿宋" w:eastAsia="仿宋" w:cs="仿宋"/>
                <w:sz w:val="26"/>
                <w:szCs w:val="26"/>
              </w:rPr>
            </w:pPr>
          </w:p>
        </w:tc>
        <w:tc>
          <w:tcPr>
            <w:tcW w:w="1596" w:type="dxa"/>
            <w:vAlign w:val="center"/>
          </w:tcPr>
          <w:p w14:paraId="02AFBFF5">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c>
          <w:tcPr>
            <w:tcW w:w="1725" w:type="dxa"/>
            <w:vAlign w:val="center"/>
          </w:tcPr>
          <w:p w14:paraId="547222C0">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r>
      <w:tr w14:paraId="0208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45" w:type="dxa"/>
            <w:vAlign w:val="center"/>
          </w:tcPr>
          <w:p w14:paraId="2B7E2DB5">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4"/>
                <w:szCs w:val="24"/>
              </w:rPr>
            </w:pPr>
            <w:r>
              <w:rPr>
                <w:rFonts w:hint="eastAsia" w:ascii="仿宋" w:hAnsi="仿宋" w:eastAsia="仿宋" w:cs="仿宋"/>
                <w:color w:val="000000"/>
                <w:kern w:val="0"/>
                <w:sz w:val="24"/>
                <w:szCs w:val="24"/>
                <w:lang w:bidi="ar"/>
              </w:rPr>
              <w:t>蕉岭县蕉城镇塔牌大道89号A-1301号</w:t>
            </w:r>
          </w:p>
        </w:tc>
        <w:tc>
          <w:tcPr>
            <w:tcW w:w="1634" w:type="dxa"/>
            <w:vAlign w:val="center"/>
          </w:tcPr>
          <w:p w14:paraId="0BE0A64D">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sz w:val="26"/>
                <w:szCs w:val="26"/>
              </w:rPr>
            </w:pPr>
            <w:r>
              <w:rPr>
                <w:rFonts w:hint="eastAsia" w:ascii="仿宋" w:hAnsi="仿宋" w:eastAsia="仿宋" w:cs="仿宋"/>
                <w:sz w:val="26"/>
                <w:szCs w:val="26"/>
              </w:rPr>
              <w:t>204.74㎡</w:t>
            </w:r>
          </w:p>
        </w:tc>
        <w:tc>
          <w:tcPr>
            <w:tcW w:w="1756" w:type="dxa"/>
            <w:vAlign w:val="center"/>
          </w:tcPr>
          <w:p w14:paraId="5CF75D4E">
            <w:pPr>
              <w:keepNext w:val="0"/>
              <w:keepLines w:val="0"/>
              <w:widowControl/>
              <w:suppressLineNumbers w:val="0"/>
              <w:spacing w:before="0" w:beforeAutospacing="0" w:after="0" w:afterAutospacing="0" w:line="440" w:lineRule="exact"/>
              <w:ind w:left="0" w:right="0"/>
              <w:jc w:val="center"/>
              <w:textAlignment w:val="center"/>
              <w:rPr>
                <w:rFonts w:hint="default" w:ascii="仿宋" w:hAnsi="仿宋" w:eastAsia="仿宋" w:cs="仿宋"/>
                <w:sz w:val="26"/>
                <w:szCs w:val="26"/>
              </w:rPr>
            </w:pPr>
          </w:p>
        </w:tc>
        <w:tc>
          <w:tcPr>
            <w:tcW w:w="1596" w:type="dxa"/>
            <w:vAlign w:val="center"/>
          </w:tcPr>
          <w:p w14:paraId="576DF0B3">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c>
          <w:tcPr>
            <w:tcW w:w="1725" w:type="dxa"/>
            <w:vAlign w:val="center"/>
          </w:tcPr>
          <w:p w14:paraId="0B6F47A3">
            <w:pPr>
              <w:keepNext w:val="0"/>
              <w:keepLines w:val="0"/>
              <w:suppressLineNumbers w:val="0"/>
              <w:spacing w:before="0" w:beforeAutospacing="0" w:after="0" w:afterAutospacing="0" w:line="440" w:lineRule="exact"/>
              <w:ind w:left="0" w:right="0"/>
              <w:jc w:val="center"/>
              <w:rPr>
                <w:rFonts w:hint="default" w:ascii="仿宋" w:hAnsi="仿宋" w:eastAsia="仿宋" w:cs="仿宋"/>
                <w:sz w:val="26"/>
                <w:szCs w:val="26"/>
              </w:rPr>
            </w:pPr>
          </w:p>
        </w:tc>
      </w:tr>
    </w:tbl>
    <w:p w14:paraId="2890CA2D">
      <w:pPr>
        <w:widowControl/>
        <w:numPr>
          <w:ilvl w:val="0"/>
          <w:numId w:val="1"/>
        </w:numPr>
        <w:spacing w:line="480" w:lineRule="exac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付款方式：合同签订生效后</w:t>
      </w:r>
      <w:r>
        <w:rPr>
          <w:rFonts w:hint="eastAsia" w:ascii="仿宋" w:hAnsi="仿宋" w:eastAsia="仿宋" w:cs="仿宋"/>
          <w:color w:val="000000"/>
          <w:kern w:val="0"/>
          <w:sz w:val="28"/>
          <w:szCs w:val="28"/>
          <w:lang w:val="en-US" w:eastAsia="zh-CN" w:bidi="ar"/>
        </w:rPr>
        <w:t>7</w:t>
      </w:r>
      <w:r>
        <w:rPr>
          <w:rFonts w:hint="eastAsia" w:ascii="仿宋" w:hAnsi="仿宋" w:eastAsia="仿宋" w:cs="仿宋"/>
          <w:color w:val="000000"/>
          <w:kern w:val="0"/>
          <w:sz w:val="28"/>
          <w:szCs w:val="28"/>
          <w:lang w:bidi="ar"/>
        </w:rPr>
        <w:t>天内一次性付清房款。</w:t>
      </w:r>
    </w:p>
    <w:p w14:paraId="15CFDA54">
      <w:pPr>
        <w:widowControl/>
        <w:numPr>
          <w:ilvl w:val="0"/>
          <w:numId w:val="1"/>
        </w:numPr>
        <w:spacing w:line="480" w:lineRule="exac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全款到账后由中标单位负责办理过户手续，招标方协助办理。</w:t>
      </w:r>
    </w:p>
    <w:p w14:paraId="7E26A8F5">
      <w:pPr>
        <w:widowControl/>
        <w:numPr>
          <w:ilvl w:val="0"/>
          <w:numId w:val="1"/>
        </w:numPr>
        <w:spacing w:line="480" w:lineRule="exac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办理过户手续中涉及到的相关税费按照国家法律法规及政府部门相关规定由招标方、投标方各自承担。</w:t>
      </w:r>
    </w:p>
    <w:p w14:paraId="123FD2D9">
      <w:pPr>
        <w:widowControl/>
        <w:spacing w:line="480" w:lineRule="exact"/>
        <w:ind w:firstLine="570"/>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五、投标保证金：贰万元人民币。</w:t>
      </w:r>
    </w:p>
    <w:p w14:paraId="15682A3D">
      <w:pPr>
        <w:widowControl/>
        <w:spacing w:line="480" w:lineRule="exact"/>
        <w:ind w:firstLine="57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1.投标保证金以银行转账形式交纳至招标方指定账户。汇款时应注明公司全称及“购房项目投标保证金”字样，未注明造成视为无效投标的风险自担。</w:t>
      </w:r>
    </w:p>
    <w:p w14:paraId="4B53C86A">
      <w:pPr>
        <w:widowControl/>
        <w:spacing w:line="480" w:lineRule="exact"/>
        <w:ind w:firstLine="57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2.投标保证金交纳账户信息：</w:t>
      </w:r>
    </w:p>
    <w:p w14:paraId="7E185FA3">
      <w:pPr>
        <w:widowControl/>
        <w:spacing w:line="480" w:lineRule="exact"/>
        <w:ind w:firstLine="57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账户名称：广东塔牌集团股份有限公司</w:t>
      </w:r>
    </w:p>
    <w:p w14:paraId="1F23964C">
      <w:pPr>
        <w:widowControl/>
        <w:spacing w:line="480" w:lineRule="exact"/>
        <w:ind w:firstLine="570"/>
        <w:rPr>
          <w:rFonts w:hint="eastAsia" w:ascii="仿宋" w:hAnsi="仿宋" w:eastAsia="仿宋" w:cs="仿宋"/>
          <w:color w:val="auto"/>
          <w:kern w:val="0"/>
          <w:sz w:val="28"/>
          <w:szCs w:val="28"/>
          <w:lang w:bidi="ar"/>
        </w:rPr>
      </w:pPr>
      <w:r>
        <w:rPr>
          <w:rFonts w:hint="eastAsia" w:ascii="仿宋" w:hAnsi="仿宋" w:eastAsia="仿宋" w:cs="仿宋"/>
          <w:color w:val="000000"/>
          <w:kern w:val="0"/>
          <w:sz w:val="28"/>
          <w:szCs w:val="28"/>
          <w:lang w:bidi="ar"/>
        </w:rPr>
        <w:t>账</w:t>
      </w:r>
      <w:r>
        <w:rPr>
          <w:rFonts w:hint="eastAsia" w:ascii="仿宋" w:hAnsi="仿宋" w:eastAsia="仿宋" w:cs="仿宋"/>
          <w:color w:val="auto"/>
          <w:kern w:val="0"/>
          <w:sz w:val="28"/>
          <w:szCs w:val="28"/>
          <w:lang w:bidi="ar"/>
        </w:rPr>
        <w:t xml:space="preserve"> 户 号：</w:t>
      </w:r>
      <w:r>
        <w:rPr>
          <w:rFonts w:hint="eastAsia" w:ascii="仿宋" w:hAnsi="仿宋" w:eastAsia="仿宋" w:cs="仿宋"/>
          <w:color w:val="auto"/>
          <w:kern w:val="0"/>
          <w:sz w:val="28"/>
          <w:szCs w:val="28"/>
          <w:lang w:val="en-US" w:eastAsia="zh-CN" w:bidi="ar"/>
        </w:rPr>
        <w:t>44001727751050606768。</w:t>
      </w:r>
      <w:r>
        <w:rPr>
          <w:rFonts w:hint="eastAsia" w:ascii="仿宋" w:hAnsi="仿宋" w:eastAsia="仿宋" w:cs="仿宋"/>
          <w:color w:val="auto"/>
          <w:kern w:val="0"/>
          <w:sz w:val="28"/>
          <w:szCs w:val="28"/>
          <w:lang w:bidi="ar"/>
        </w:rPr>
        <w:t xml:space="preserve">                   </w:t>
      </w:r>
    </w:p>
    <w:p w14:paraId="20213AA8">
      <w:pPr>
        <w:widowControl/>
        <w:spacing w:line="480" w:lineRule="exact"/>
        <w:ind w:firstLine="570"/>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开户银行：</w:t>
      </w:r>
      <w:r>
        <w:rPr>
          <w:rFonts w:hint="eastAsia" w:ascii="仿宋" w:hAnsi="仿宋" w:eastAsia="仿宋" w:cs="仿宋"/>
          <w:color w:val="auto"/>
          <w:kern w:val="0"/>
          <w:sz w:val="28"/>
          <w:szCs w:val="28"/>
          <w:lang w:val="en-US" w:eastAsia="zh-CN" w:bidi="ar"/>
        </w:rPr>
        <w:t>中国建设银行股份有限公司梅州蕉岭支行。</w:t>
      </w:r>
      <w:r>
        <w:rPr>
          <w:rFonts w:hint="eastAsia" w:ascii="仿宋" w:hAnsi="仿宋" w:eastAsia="仿宋" w:cs="仿宋"/>
          <w:color w:val="auto"/>
          <w:kern w:val="0"/>
          <w:sz w:val="28"/>
          <w:szCs w:val="28"/>
          <w:lang w:bidi="ar"/>
        </w:rPr>
        <w:t xml:space="preserve">                        </w:t>
      </w:r>
    </w:p>
    <w:p w14:paraId="2E337BD9">
      <w:pPr>
        <w:widowControl/>
        <w:spacing w:line="480" w:lineRule="exact"/>
        <w:ind w:firstLine="570"/>
        <w:rPr>
          <w:rFonts w:hint="eastAsia" w:ascii="仿宋" w:hAnsi="仿宋" w:eastAsia="仿宋" w:cs="仿宋"/>
          <w:color w:val="000000"/>
          <w:kern w:val="0"/>
          <w:sz w:val="28"/>
          <w:szCs w:val="28"/>
          <w:lang w:bidi="ar"/>
        </w:rPr>
      </w:pPr>
      <w:r>
        <w:rPr>
          <w:rFonts w:hint="eastAsia" w:ascii="仿宋" w:hAnsi="仿宋" w:eastAsia="仿宋" w:cs="仿宋"/>
          <w:color w:val="auto"/>
          <w:kern w:val="0"/>
          <w:sz w:val="28"/>
          <w:szCs w:val="28"/>
          <w:lang w:bidi="ar"/>
        </w:rPr>
        <w:t>3.投标保证金应由投标方汇出，不</w:t>
      </w:r>
      <w:r>
        <w:rPr>
          <w:rFonts w:hint="eastAsia" w:ascii="仿宋" w:hAnsi="仿宋" w:eastAsia="仿宋" w:cs="仿宋"/>
          <w:color w:val="000000"/>
          <w:kern w:val="0"/>
          <w:sz w:val="28"/>
          <w:szCs w:val="28"/>
          <w:lang w:bidi="ar"/>
        </w:rPr>
        <w:t>得由代理人或其他第三方支付</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不遵守此要求造成投标保证金无法退回的，由投标方自担风险和责任。</w:t>
      </w:r>
    </w:p>
    <w:p w14:paraId="17474A43">
      <w:pPr>
        <w:widowControl/>
        <w:spacing w:line="480" w:lineRule="exact"/>
        <w:ind w:firstLine="57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4.若在标书递交结束时间前未缴纳投标保证金或投标保证金未到账的，视为该单位</w:t>
      </w:r>
      <w:r>
        <w:rPr>
          <w:rFonts w:hint="eastAsia" w:ascii="仿宋" w:hAnsi="仿宋" w:eastAsia="仿宋" w:cs="仿宋"/>
          <w:color w:val="000000"/>
          <w:kern w:val="0"/>
          <w:sz w:val="28"/>
          <w:szCs w:val="28"/>
          <w:lang w:val="en-US" w:eastAsia="zh-CN" w:bidi="ar"/>
        </w:rPr>
        <w:t>/个人</w:t>
      </w:r>
      <w:r>
        <w:rPr>
          <w:rFonts w:hint="eastAsia" w:ascii="仿宋" w:hAnsi="仿宋" w:eastAsia="仿宋" w:cs="仿宋"/>
          <w:color w:val="000000"/>
          <w:kern w:val="0"/>
          <w:sz w:val="28"/>
          <w:szCs w:val="28"/>
          <w:lang w:bidi="ar"/>
        </w:rPr>
        <w:t>投标无效。</w:t>
      </w:r>
    </w:p>
    <w:p w14:paraId="05841C34">
      <w:pPr>
        <w:widowControl/>
        <w:spacing w:line="480" w:lineRule="exact"/>
        <w:ind w:firstLine="57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5.投标保证金凭证提交：递交投标文件时须同步提交投标保证金缴款凭证扫描件（或复印件）。</w:t>
      </w:r>
    </w:p>
    <w:p w14:paraId="4DCAEC01">
      <w:pPr>
        <w:widowControl/>
        <w:spacing w:line="480" w:lineRule="exact"/>
        <w:ind w:firstLine="565" w:firstLineChars="202"/>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6.下列任何情况发生时，投标保证金将被招标方没收：</w:t>
      </w:r>
    </w:p>
    <w:p w14:paraId="3A496227">
      <w:pPr>
        <w:widowControl/>
        <w:spacing w:line="480" w:lineRule="exact"/>
        <w:ind w:firstLine="565" w:firstLineChars="202"/>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(1)投标方在投标有效期限内撤回其投标文件的；</w:t>
      </w:r>
    </w:p>
    <w:p w14:paraId="7C9372BD">
      <w:pPr>
        <w:widowControl/>
        <w:spacing w:line="480" w:lineRule="exact"/>
        <w:ind w:firstLine="565" w:firstLineChars="202"/>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(2)中标单位未能按招标方的通知要求在规定时间内签署合同；</w:t>
      </w:r>
    </w:p>
    <w:p w14:paraId="0EC3A8D8">
      <w:pPr>
        <w:widowControl/>
        <w:spacing w:line="480" w:lineRule="exact"/>
        <w:ind w:firstLine="565" w:firstLineChars="202"/>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(3)投标方被证实以欺骗、胁迫、贿赂等不正当手段中标的；</w:t>
      </w:r>
    </w:p>
    <w:p w14:paraId="099FCB45">
      <w:pPr>
        <w:widowControl/>
        <w:spacing w:line="480" w:lineRule="exact"/>
        <w:ind w:firstLine="565" w:firstLineChars="202"/>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(4)在投标过程中有围标、串标或其他损害招标方利益行为的；</w:t>
      </w:r>
    </w:p>
    <w:p w14:paraId="798D33EF">
      <w:pPr>
        <w:widowControl/>
        <w:spacing w:line="480" w:lineRule="exact"/>
        <w:ind w:firstLine="565" w:firstLineChars="202"/>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7.标书提交时间及方式：</w:t>
      </w:r>
    </w:p>
    <w:p w14:paraId="197D0B6E">
      <w:pPr>
        <w:widowControl/>
        <w:spacing w:line="480" w:lineRule="exact"/>
        <w:ind w:firstLine="565" w:firstLineChars="202"/>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eastAsia" w:ascii="仿宋" w:hAnsi="仿宋" w:eastAsia="仿宋" w:cs="仿宋"/>
          <w:bCs w:val="0"/>
          <w:color w:val="000000"/>
          <w:kern w:val="0"/>
          <w:sz w:val="28"/>
          <w:szCs w:val="28"/>
          <w:lang w:val="en-US" w:eastAsia="zh-CN" w:bidi="ar"/>
        </w:rPr>
        <w:t>标书递交时间：2025年5月27日至5月30日上午10时30分止。</w:t>
      </w:r>
    </w:p>
    <w:p w14:paraId="5984F3A9">
      <w:pPr>
        <w:spacing w:line="480" w:lineRule="exact"/>
        <w:ind w:firstLine="565" w:firstLineChars="202"/>
        <w:rPr>
          <w:rFonts w:hint="eastAsia" w:ascii="仿宋" w:hAnsi="仿宋" w:eastAsia="仿宋" w:cs="仿宋"/>
          <w:bCs w:val="0"/>
          <w:color w:val="000000"/>
          <w:kern w:val="0"/>
          <w:sz w:val="28"/>
          <w:szCs w:val="28"/>
          <w:lang w:eastAsia="zh-CN" w:bidi="ar"/>
        </w:rPr>
      </w:pPr>
      <w:r>
        <w:rPr>
          <w:rFonts w:hint="eastAsia" w:ascii="仿宋" w:hAnsi="仿宋" w:eastAsia="仿宋" w:cs="仿宋"/>
          <w:bCs w:val="0"/>
          <w:color w:val="000000"/>
          <w:kern w:val="0"/>
          <w:sz w:val="28"/>
          <w:szCs w:val="28"/>
          <w:lang w:eastAsia="zh-CN" w:bidi="ar"/>
        </w:rPr>
        <w:t>（</w:t>
      </w:r>
      <w:r>
        <w:rPr>
          <w:rFonts w:hint="eastAsia" w:ascii="仿宋" w:hAnsi="仿宋" w:eastAsia="仿宋" w:cs="仿宋"/>
          <w:bCs w:val="0"/>
          <w:color w:val="000000"/>
          <w:kern w:val="0"/>
          <w:sz w:val="28"/>
          <w:szCs w:val="28"/>
          <w:lang w:val="en-US" w:eastAsia="zh-CN" w:bidi="ar"/>
        </w:rPr>
        <w:t>2</w:t>
      </w:r>
      <w:r>
        <w:rPr>
          <w:rFonts w:hint="eastAsia" w:ascii="仿宋" w:hAnsi="仿宋" w:eastAsia="仿宋" w:cs="仿宋"/>
          <w:bCs w:val="0"/>
          <w:color w:val="000000"/>
          <w:kern w:val="0"/>
          <w:sz w:val="28"/>
          <w:szCs w:val="28"/>
          <w:lang w:eastAsia="zh-CN" w:bidi="ar"/>
        </w:rPr>
        <w:t>）纸质投标文件的递交：纸质投标文件应密封在不透明的封装中，包封应注明投标方名称、联系方式，并在封袋騎缝处以显著标志密封。投标文件未密封的，招标方将拒绝接收。</w:t>
      </w:r>
    </w:p>
    <w:p w14:paraId="24EE2F85">
      <w:pPr>
        <w:spacing w:line="480" w:lineRule="exact"/>
        <w:ind w:firstLine="560" w:firstLineChars="200"/>
        <w:rPr>
          <w:rFonts w:hint="eastAsia" w:ascii="仿宋" w:hAnsi="仿宋" w:eastAsia="仿宋" w:cs="仿宋"/>
          <w:bCs w:val="0"/>
          <w:color w:val="000000"/>
          <w:kern w:val="0"/>
          <w:sz w:val="28"/>
          <w:szCs w:val="28"/>
          <w:lang w:val="en-US" w:eastAsia="zh-CN" w:bidi="ar"/>
        </w:rPr>
      </w:pPr>
      <w:r>
        <w:rPr>
          <w:rFonts w:hint="eastAsia" w:ascii="仿宋" w:hAnsi="仿宋" w:eastAsia="仿宋" w:cs="仿宋"/>
          <w:bCs w:val="0"/>
          <w:color w:val="000000"/>
          <w:kern w:val="0"/>
          <w:sz w:val="28"/>
          <w:szCs w:val="28"/>
          <w:lang w:val="en-US" w:eastAsia="zh-CN" w:bidi="ar"/>
        </w:rPr>
        <w:t>8.</w:t>
      </w:r>
      <w:r>
        <w:rPr>
          <w:rFonts w:hint="default" w:ascii="仿宋" w:hAnsi="仿宋" w:eastAsia="仿宋" w:cs="仿宋"/>
          <w:bCs w:val="0"/>
          <w:color w:val="000000"/>
          <w:kern w:val="0"/>
          <w:sz w:val="28"/>
          <w:szCs w:val="28"/>
          <w:lang w:val="en-US" w:eastAsia="zh-CN" w:bidi="ar"/>
        </w:rPr>
        <w:t>标书收件人/联系电话及地址：刘珊瑚，联系电话：0753-7883329</w:t>
      </w:r>
      <w:r>
        <w:rPr>
          <w:rFonts w:hint="eastAsia" w:ascii="仿宋" w:hAnsi="仿宋" w:eastAsia="仿宋" w:cs="仿宋"/>
          <w:bCs w:val="0"/>
          <w:color w:val="000000"/>
          <w:kern w:val="0"/>
          <w:sz w:val="28"/>
          <w:szCs w:val="28"/>
          <w:lang w:val="en-US" w:eastAsia="zh-CN" w:bidi="ar"/>
        </w:rPr>
        <w:t>。</w:t>
      </w:r>
      <w:bookmarkStart w:id="0" w:name="_GoBack"/>
      <w:bookmarkEnd w:id="0"/>
    </w:p>
    <w:p w14:paraId="50111862">
      <w:pPr>
        <w:spacing w:line="480" w:lineRule="exact"/>
        <w:ind w:firstLine="560" w:firstLineChars="200"/>
        <w:rPr>
          <w:rFonts w:hint="eastAsia" w:ascii="仿宋" w:hAnsi="仿宋" w:eastAsia="仿宋" w:cs="仿宋"/>
          <w:color w:val="000000"/>
          <w:kern w:val="0"/>
          <w:sz w:val="28"/>
          <w:szCs w:val="28"/>
          <w:lang w:bidi="ar"/>
        </w:rPr>
      </w:pPr>
      <w:r>
        <w:rPr>
          <w:rFonts w:hint="eastAsia" w:ascii="仿宋" w:hAnsi="仿宋" w:eastAsia="仿宋" w:cs="仿宋"/>
          <w:bCs w:val="0"/>
          <w:color w:val="000000"/>
          <w:kern w:val="0"/>
          <w:sz w:val="28"/>
          <w:szCs w:val="28"/>
          <w:lang w:val="en-US" w:eastAsia="zh-CN" w:bidi="ar"/>
        </w:rPr>
        <w:t>9.开标方式：现场开标。投标人带好已密封的</w:t>
      </w:r>
      <w:r>
        <w:rPr>
          <w:rFonts w:hint="eastAsia" w:ascii="仿宋" w:hAnsi="仿宋" w:eastAsia="仿宋" w:cs="仿宋"/>
          <w:bCs w:val="0"/>
          <w:color w:val="000000"/>
          <w:kern w:val="0"/>
          <w:sz w:val="28"/>
          <w:szCs w:val="28"/>
          <w:lang w:eastAsia="zh-CN" w:bidi="ar"/>
        </w:rPr>
        <w:t>纸质投标文件，</w:t>
      </w:r>
      <w:r>
        <w:rPr>
          <w:rFonts w:hint="eastAsia" w:ascii="仿宋" w:hAnsi="仿宋" w:eastAsia="仿宋" w:cs="仿宋"/>
          <w:bCs w:val="0"/>
          <w:color w:val="000000"/>
          <w:kern w:val="0"/>
          <w:sz w:val="28"/>
          <w:szCs w:val="28"/>
          <w:lang w:val="en-US" w:eastAsia="zh-CN" w:bidi="ar"/>
        </w:rPr>
        <w:t>于2025年5月30日上午10时30分前到</w:t>
      </w:r>
      <w:r>
        <w:rPr>
          <w:rFonts w:hint="default" w:ascii="仿宋" w:hAnsi="仿宋" w:eastAsia="仿宋" w:cs="仿宋"/>
          <w:bCs w:val="0"/>
          <w:color w:val="000000"/>
          <w:kern w:val="0"/>
          <w:sz w:val="28"/>
          <w:szCs w:val="28"/>
          <w:lang w:val="en-US" w:eastAsia="zh-CN" w:bidi="ar"/>
        </w:rPr>
        <w:t>广东省梅州市蕉岭县城桂岭大道北-塔牌集团物资供应</w:t>
      </w:r>
      <w:r>
        <w:rPr>
          <w:rFonts w:hint="eastAsia" w:ascii="仿宋" w:hAnsi="仿宋" w:eastAsia="仿宋" w:cs="仿宋"/>
          <w:bCs w:val="0"/>
          <w:color w:val="000000"/>
          <w:kern w:val="0"/>
          <w:sz w:val="28"/>
          <w:szCs w:val="28"/>
          <w:lang w:val="en-US" w:eastAsia="zh-CN" w:bidi="ar"/>
        </w:rPr>
        <w:t>部（二楼会议室），现场统一开标。</w:t>
      </w:r>
    </w:p>
    <w:p w14:paraId="442FDADB">
      <w:pPr>
        <w:widowControl/>
        <w:spacing w:line="480" w:lineRule="exact"/>
        <w:ind w:left="0" w:leftChars="0" w:firstLine="0" w:firstLineChars="0"/>
        <w:rPr>
          <w:rFonts w:hint="eastAsia" w:ascii="仿宋" w:hAnsi="仿宋" w:eastAsia="仿宋" w:cs="仿宋"/>
          <w:color w:val="000000"/>
          <w:kern w:val="0"/>
          <w:sz w:val="28"/>
          <w:szCs w:val="28"/>
          <w:lang w:bidi="ar"/>
        </w:rPr>
      </w:pPr>
    </w:p>
    <w:p w14:paraId="133F1027">
      <w:pPr>
        <w:widowControl/>
        <w:spacing w:line="480" w:lineRule="exact"/>
        <w:ind w:left="0" w:leftChars="0" w:firstLine="5040" w:firstLineChars="18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投标人：</w:t>
      </w:r>
    </w:p>
    <w:p w14:paraId="5D3FC3D8">
      <w:pPr>
        <w:widowControl/>
        <w:spacing w:line="480" w:lineRule="exact"/>
        <w:ind w:left="0" w:leftChars="0" w:firstLine="5040" w:firstLineChars="1800"/>
        <w:rPr>
          <w:rFonts w:hint="eastAsia"/>
        </w:rPr>
      </w:pPr>
      <w:r>
        <w:rPr>
          <w:rFonts w:hint="eastAsia" w:ascii="仿宋" w:hAnsi="仿宋" w:eastAsia="仿宋" w:cs="仿宋"/>
          <w:color w:val="000000"/>
          <w:kern w:val="0"/>
          <w:sz w:val="28"/>
          <w:szCs w:val="28"/>
          <w:lang w:bidi="ar"/>
        </w:rPr>
        <w:t>联系电话</w:t>
      </w:r>
      <w:r>
        <w:rPr>
          <w:rFonts w:hint="eastAsia" w:ascii="仿宋" w:hAnsi="仿宋" w:eastAsia="仿宋" w:cs="仿宋"/>
          <w:color w:val="000000"/>
          <w:kern w:val="0"/>
          <w:sz w:val="28"/>
          <w:szCs w:val="28"/>
          <w:lang w:eastAsia="zh-CN" w:bidi="ar"/>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6412583"/>
      <w:docPartObj>
        <w:docPartGallery w:val="autotext"/>
      </w:docPartObj>
    </w:sdtPr>
    <w:sdtContent>
      <w:sdt>
        <w:sdtPr>
          <w:id w:val="1728636285"/>
          <w:docPartObj>
            <w:docPartGallery w:val="autotext"/>
          </w:docPartObj>
        </w:sdtPr>
        <w:sdtContent>
          <w:p w14:paraId="0CC1C793">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D33FD"/>
    <w:multiLevelType w:val="multilevel"/>
    <w:tmpl w:val="BF2D33FD"/>
    <w:lvl w:ilvl="0" w:tentative="0">
      <w:start w:val="2"/>
      <w:numFmt w:val="chineseCounting"/>
      <w:suff w:val="nothing"/>
      <w:lvlText w:val="%1、"/>
      <w:lvlJc w:val="left"/>
      <w:pPr>
        <w:ind w:left="0" w:firstLine="567"/>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Chinese"/>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Roman"/>
      <w:suff w:val="nothing"/>
      <w:lvlText w:val="%8．"/>
      <w:lvlJc w:val="left"/>
      <w:pPr>
        <w:ind w:left="0" w:firstLine="0"/>
      </w:pPr>
      <w:rPr>
        <w:rFonts w:hint="eastAsia"/>
      </w:rPr>
    </w:lvl>
    <w:lvl w:ilvl="8" w:tentative="0">
      <w:start w:val="1"/>
      <w:numFmt w:val="lowerRoman"/>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ZGQzNWJiMjk5MTU3MjFkOGZjNGFlZDVkMGFkYWQifQ=="/>
  </w:docVars>
  <w:rsids>
    <w:rsidRoot w:val="3A380AE1"/>
    <w:rsid w:val="00162322"/>
    <w:rsid w:val="001D5727"/>
    <w:rsid w:val="00352453"/>
    <w:rsid w:val="00665385"/>
    <w:rsid w:val="00673FA5"/>
    <w:rsid w:val="00677C65"/>
    <w:rsid w:val="006925B1"/>
    <w:rsid w:val="007A3409"/>
    <w:rsid w:val="00930779"/>
    <w:rsid w:val="00D840AA"/>
    <w:rsid w:val="01E66FA5"/>
    <w:rsid w:val="06326D56"/>
    <w:rsid w:val="0B8C5398"/>
    <w:rsid w:val="120C3B45"/>
    <w:rsid w:val="13051255"/>
    <w:rsid w:val="13C3748D"/>
    <w:rsid w:val="149208C7"/>
    <w:rsid w:val="15C06223"/>
    <w:rsid w:val="1B5B5A40"/>
    <w:rsid w:val="1FA8440F"/>
    <w:rsid w:val="202F0190"/>
    <w:rsid w:val="231B23CF"/>
    <w:rsid w:val="236478D2"/>
    <w:rsid w:val="2B0164BD"/>
    <w:rsid w:val="313449DB"/>
    <w:rsid w:val="35A06F9C"/>
    <w:rsid w:val="3A380AE1"/>
    <w:rsid w:val="3B224950"/>
    <w:rsid w:val="3B974891"/>
    <w:rsid w:val="3D2F0AF9"/>
    <w:rsid w:val="3F734191"/>
    <w:rsid w:val="41625FCC"/>
    <w:rsid w:val="444A6219"/>
    <w:rsid w:val="44A71358"/>
    <w:rsid w:val="44D46A08"/>
    <w:rsid w:val="45401101"/>
    <w:rsid w:val="4B94521D"/>
    <w:rsid w:val="4ED33D36"/>
    <w:rsid w:val="4FA2515B"/>
    <w:rsid w:val="50BE1DE1"/>
    <w:rsid w:val="54486FC8"/>
    <w:rsid w:val="5C891F24"/>
    <w:rsid w:val="5E4A4759"/>
    <w:rsid w:val="5F4E0470"/>
    <w:rsid w:val="61DC44FC"/>
    <w:rsid w:val="61EF4230"/>
    <w:rsid w:val="712C4CFC"/>
    <w:rsid w:val="72B6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val="0"/>
      <w:widowControl/>
      <w:suppressLineNumbers w:val="0"/>
      <w:tabs>
        <w:tab w:val="left" w:pos="360"/>
      </w:tabs>
      <w:overflowPunct w:val="0"/>
      <w:autoSpaceDE w:val="0"/>
      <w:autoSpaceDN w:val="0"/>
      <w:adjustRightInd w:val="0"/>
      <w:spacing w:before="0" w:beforeAutospacing="0" w:after="0" w:afterAutospacing="0" w:line="360" w:lineRule="auto"/>
      <w:ind w:left="0" w:right="0"/>
      <w:jc w:val="left"/>
      <w:outlineLvl w:val="0"/>
    </w:pPr>
    <w:rPr>
      <w:rFonts w:hint="eastAsia" w:ascii="楷体" w:hAnsi="楷体" w:eastAsia="楷体" w:cs="Calibri"/>
      <w:b/>
      <w:kern w:val="28"/>
      <w:sz w:val="28"/>
      <w:szCs w:val="20"/>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Calibri"/>
      <w:kern w:val="2"/>
      <w:sz w:val="21"/>
      <w:szCs w:val="20"/>
      <w:lang w:val="en-US" w:eastAsia="zh-CN" w:bidi="ar"/>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rPr>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11"/>
    <w:basedOn w:val="10"/>
    <w:autoRedefine/>
    <w:qFormat/>
    <w:uiPriority w:val="0"/>
    <w:rPr>
      <w:rFonts w:hint="eastAsia" w:ascii="仿宋" w:hAnsi="仿宋" w:eastAsia="仿宋" w:cs="仿宋"/>
      <w:color w:val="000000"/>
      <w:sz w:val="24"/>
      <w:szCs w:val="24"/>
      <w:u w:val="none"/>
    </w:rPr>
  </w:style>
  <w:style w:type="character" w:customStyle="1" w:styleId="12">
    <w:name w:val="font21"/>
    <w:basedOn w:val="10"/>
    <w:autoRedefine/>
    <w:qFormat/>
    <w:uiPriority w:val="0"/>
    <w:rPr>
      <w:rFonts w:hint="eastAsia" w:ascii="仿宋" w:hAnsi="仿宋" w:eastAsia="仿宋" w:cs="仿宋"/>
      <w:color w:val="000000"/>
      <w:sz w:val="24"/>
      <w:szCs w:val="24"/>
      <w:u w:val="none"/>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页眉 字符"/>
    <w:basedOn w:val="10"/>
    <w:link w:val="5"/>
    <w:qFormat/>
    <w:uiPriority w:val="0"/>
    <w:rPr>
      <w:rFonts w:asciiTheme="minorHAnsi" w:hAnsiTheme="minorHAnsi" w:eastAsiaTheme="minorEastAsia" w:cstheme="minorBidi"/>
      <w:kern w:val="2"/>
      <w:sz w:val="18"/>
      <w:szCs w:val="18"/>
    </w:rPr>
  </w:style>
  <w:style w:type="character" w:customStyle="1" w:styleId="15">
    <w:name w:val="页脚 字符"/>
    <w:basedOn w:val="10"/>
    <w:link w:val="4"/>
    <w:qFormat/>
    <w:uiPriority w:val="99"/>
    <w:rPr>
      <w:rFonts w:asciiTheme="minorHAnsi" w:hAnsiTheme="minorHAnsi" w:eastAsiaTheme="minorEastAsia" w:cstheme="minorBidi"/>
      <w:kern w:val="2"/>
      <w:sz w:val="18"/>
      <w:szCs w:val="18"/>
    </w:rPr>
  </w:style>
  <w:style w:type="character" w:customStyle="1" w:styleId="16">
    <w:name w:val="标题 1 字符"/>
    <w:basedOn w:val="10"/>
    <w:link w:val="2"/>
    <w:qFormat/>
    <w:uiPriority w:val="0"/>
    <w:rPr>
      <w:rFonts w:hint="eastAsia" w:ascii="楷体" w:hAnsi="楷体" w:eastAsia="楷体" w:cs="Calibri"/>
      <w:b/>
      <w:kern w:val="28"/>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6F69-9B40-4D36-9C5D-40E29EDE5D9C}">
  <ds:schemaRefs/>
</ds:datastoreItem>
</file>

<file path=docProps/app.xml><?xml version="1.0" encoding="utf-8"?>
<Properties xmlns="http://schemas.openxmlformats.org/officeDocument/2006/extended-properties" xmlns:vt="http://schemas.openxmlformats.org/officeDocument/2006/docPropsVTypes">
  <Template>Normal</Template>
  <Pages>2</Pages>
  <Words>950</Words>
  <Characters>1086</Characters>
  <Lines>6</Lines>
  <Paragraphs>1</Paragraphs>
  <TotalTime>5</TotalTime>
  <ScaleCrop>false</ScaleCrop>
  <LinksUpToDate>false</LinksUpToDate>
  <CharactersWithSpaces>1131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2024-03-01T06:24:00Z</dcterms:created>
  <dc:creator>波 • 波 • 頭°</dc:creator>
  <cp:lastModifiedBy>波 • 波 • 頭°</cp:lastModifiedBy>
  <dcterms:modified xsi:type="dcterms:W3CDTF">2025-05-15T02:30:09Z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11E3A57224254ED5B110A2BDD09888F3_11</vt:lpwstr>
  </property>
  <property fmtid="{D5CDD505-2E9C-101B-9397-08002B2CF9AE}" pid="4" name="KSOTemplateDocerSaveRecord">
    <vt:lpwstr>eyJoZGlkIjoiOWRlZGQzNWJiMjk5MTU3MjFkOGZjNGFlZDVkMGFkYWQiLCJ1c2VySWQiOiIyMDA1OTY5NDUifQ==</vt:lpwstr>
  </property>
</Properties>
</file>